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74"/>
        <w:gridCol w:w="3565"/>
        <w:gridCol w:w="1475"/>
        <w:gridCol w:w="2090"/>
      </w:tblGrid>
      <w:tr w14:paraId="27F0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15150349">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索引号：</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02E7A147">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11441900007330010D/2026-00124</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449E68DF">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分类：</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74373112">
            <w:pPr>
              <w:rPr>
                <w:rFonts w:hint="eastAsia" w:ascii="宋体"/>
                <w:sz w:val="22"/>
                <w:szCs w:val="22"/>
              </w:rPr>
            </w:pPr>
          </w:p>
        </w:tc>
      </w:tr>
      <w:tr w14:paraId="31271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66756285">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发布机构：</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26472007">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东莞市人民政府办公室</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192E365E">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成文日期：</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5C66141D">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2026-03-22</w:t>
            </w:r>
          </w:p>
        </w:tc>
      </w:tr>
      <w:tr w14:paraId="0262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top"/>
          </w:tcPr>
          <w:p w14:paraId="688CAC36">
            <w:pPr>
              <w:keepNext w:val="0"/>
              <w:keepLines w:val="0"/>
              <w:widowControl/>
              <w:suppressLineNumbers w:val="0"/>
              <w:spacing w:before="0" w:beforeAutospacing="0" w:after="0" w:afterAutospacing="0"/>
              <w:ind w:left="0" w:right="0"/>
              <w:jc w:val="right"/>
              <w:textAlignment w:val="top"/>
              <w:rPr>
                <w:sz w:val="20"/>
                <w:szCs w:val="22"/>
              </w:rPr>
            </w:pPr>
            <w:r>
              <w:rPr>
                <w:rFonts w:ascii="宋体" w:hAnsi="宋体" w:eastAsia="宋体" w:cs="宋体"/>
                <w:kern w:val="0"/>
                <w:sz w:val="22"/>
                <w:szCs w:val="22"/>
                <w:bdr w:val="none" w:color="auto" w:sz="0" w:space="0"/>
                <w:lang w:val="en-US" w:eastAsia="zh-CN" w:bidi="ar"/>
              </w:rPr>
              <w:t>名称：</w:t>
            </w:r>
          </w:p>
        </w:tc>
        <w:tc>
          <w:tcPr>
            <w:tcW w:w="4142" w:type="pct"/>
            <w:gridSpan w:val="3"/>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13F4613C">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东莞市人民政府办公室关于印发《东莞市加快场景培育和开放 推动“智创优品、和美宜居”新场景应用实施方案（2026—2028年）》的通知</w:t>
            </w:r>
          </w:p>
        </w:tc>
      </w:tr>
      <w:tr w14:paraId="7CE0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06170D2A">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文号：</w:t>
            </w:r>
          </w:p>
        </w:tc>
        <w:tc>
          <w:tcPr>
            <w:tcW w:w="2071"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2319C8DF">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东府办〔2026〕7号</w:t>
            </w:r>
          </w:p>
        </w:tc>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64040ACB">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发布日期：</w:t>
            </w:r>
          </w:p>
        </w:tc>
        <w:tc>
          <w:tcPr>
            <w:tcW w:w="1214" w:type="pct"/>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238284EC">
            <w:pPr>
              <w:keepNext w:val="0"/>
              <w:keepLines w:val="0"/>
              <w:widowControl/>
              <w:suppressLineNumbers w:val="0"/>
              <w:spacing w:before="0" w:beforeAutospacing="0" w:after="0" w:afterAutospacing="0"/>
              <w:ind w:left="0" w:right="0"/>
              <w:jc w:val="left"/>
              <w:rPr>
                <w:sz w:val="20"/>
                <w:szCs w:val="22"/>
              </w:rPr>
            </w:pPr>
            <w:r>
              <w:rPr>
                <w:rFonts w:ascii="宋体" w:hAnsi="宋体" w:eastAsia="宋体" w:cs="宋体"/>
                <w:kern w:val="0"/>
                <w:sz w:val="22"/>
                <w:szCs w:val="22"/>
                <w:bdr w:val="none" w:color="auto" w:sz="0" w:space="0"/>
                <w:lang w:val="en-US" w:eastAsia="zh-CN" w:bidi="ar"/>
              </w:rPr>
              <w:t>2026-04-02</w:t>
            </w:r>
          </w:p>
        </w:tc>
      </w:tr>
      <w:tr w14:paraId="5E10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57" w:type="pct"/>
            <w:tcBorders>
              <w:top w:val="single" w:color="B0CCE4" w:sz="6" w:space="0"/>
              <w:left w:val="single" w:color="B0CCE4" w:sz="6" w:space="0"/>
              <w:bottom w:val="single" w:color="B0CCE4" w:sz="6" w:space="0"/>
              <w:right w:val="nil"/>
            </w:tcBorders>
            <w:shd w:val="clear"/>
            <w:tcMar>
              <w:top w:w="150" w:type="dxa"/>
              <w:left w:w="150" w:type="dxa"/>
              <w:bottom w:w="150" w:type="dxa"/>
              <w:right w:w="150" w:type="dxa"/>
            </w:tcMar>
            <w:vAlign w:val="center"/>
          </w:tcPr>
          <w:p w14:paraId="05D2775D">
            <w:pPr>
              <w:keepNext w:val="0"/>
              <w:keepLines w:val="0"/>
              <w:widowControl/>
              <w:suppressLineNumbers w:val="0"/>
              <w:spacing w:before="0" w:beforeAutospacing="0" w:after="0" w:afterAutospacing="0"/>
              <w:ind w:left="0" w:right="0"/>
              <w:jc w:val="right"/>
              <w:rPr>
                <w:sz w:val="20"/>
                <w:szCs w:val="22"/>
              </w:rPr>
            </w:pPr>
            <w:r>
              <w:rPr>
                <w:rFonts w:ascii="宋体" w:hAnsi="宋体" w:eastAsia="宋体" w:cs="宋体"/>
                <w:kern w:val="0"/>
                <w:sz w:val="22"/>
                <w:szCs w:val="22"/>
                <w:bdr w:val="none" w:color="auto" w:sz="0" w:space="0"/>
                <w:lang w:val="en-US" w:eastAsia="zh-CN" w:bidi="ar"/>
              </w:rPr>
              <w:t>主题词：</w:t>
            </w:r>
          </w:p>
        </w:tc>
        <w:tc>
          <w:tcPr>
            <w:tcW w:w="4142" w:type="pct"/>
            <w:gridSpan w:val="3"/>
            <w:tcBorders>
              <w:top w:val="single" w:color="B0CCE4" w:sz="6" w:space="0"/>
              <w:left w:val="nil"/>
              <w:bottom w:val="single" w:color="B0CCE4" w:sz="6" w:space="0"/>
              <w:right w:val="single" w:color="B0CCE4" w:sz="6" w:space="0"/>
            </w:tcBorders>
            <w:shd w:val="clear"/>
            <w:tcMar>
              <w:top w:w="150" w:type="dxa"/>
              <w:bottom w:w="150" w:type="dxa"/>
              <w:right w:w="150" w:type="dxa"/>
            </w:tcMar>
            <w:vAlign w:val="center"/>
          </w:tcPr>
          <w:p w14:paraId="10530E27">
            <w:pPr>
              <w:rPr>
                <w:rFonts w:hint="eastAsia" w:ascii="宋体"/>
                <w:sz w:val="22"/>
                <w:szCs w:val="22"/>
              </w:rPr>
            </w:pPr>
          </w:p>
        </w:tc>
      </w:tr>
    </w:tbl>
    <w:p w14:paraId="3DBD21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b/>
          <w:bCs/>
          <w:i w:val="0"/>
          <w:iCs w:val="0"/>
          <w:caps w:val="0"/>
          <w:color w:val="2D66A5"/>
          <w:spacing w:val="0"/>
          <w:sz w:val="32"/>
          <w:szCs w:val="32"/>
          <w:bdr w:val="none" w:color="auto" w:sz="0" w:space="0"/>
          <w:shd w:val="clear" w:fill="FFFFFF"/>
        </w:rPr>
      </w:pPr>
    </w:p>
    <w:p w14:paraId="2898EE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b/>
          <w:bCs/>
          <w:color w:val="2D66A5"/>
          <w:sz w:val="32"/>
          <w:szCs w:val="32"/>
        </w:rPr>
      </w:pPr>
      <w:r>
        <w:rPr>
          <w:b/>
          <w:bCs/>
          <w:i w:val="0"/>
          <w:iCs w:val="0"/>
          <w:caps w:val="0"/>
          <w:color w:val="2D66A5"/>
          <w:spacing w:val="0"/>
          <w:sz w:val="32"/>
          <w:szCs w:val="32"/>
          <w:bdr w:val="none" w:color="auto" w:sz="0" w:space="0"/>
          <w:shd w:val="clear" w:fill="FFFFFF"/>
        </w:rPr>
        <w:t>东莞市人民政府办公室关于印发《东莞市加快场景培育和开放 推动“智创优品、和美宜居”新场景应用实施方案（2026—2028年）》的通知</w:t>
      </w:r>
    </w:p>
    <w:p w14:paraId="3E0066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ind w:left="0" w:right="0" w:firstLine="0"/>
        <w:jc w:val="center"/>
        <w:rPr>
          <w:rFonts w:hint="eastAsia" w:ascii="微软雅黑" w:hAnsi="微软雅黑" w:eastAsia="微软雅黑" w:cs="微软雅黑"/>
          <w:i w:val="0"/>
          <w:iCs w:val="0"/>
          <w:caps w:val="0"/>
          <w:color w:val="8E8E8E"/>
          <w:spacing w:val="0"/>
          <w:sz w:val="21"/>
          <w:szCs w:val="21"/>
        </w:rPr>
      </w:pPr>
      <w:r>
        <w:rPr>
          <w:rFonts w:hint="eastAsia" w:ascii="微软雅黑" w:hAnsi="微软雅黑" w:eastAsia="微软雅黑" w:cs="微软雅黑"/>
          <w:i w:val="0"/>
          <w:iCs w:val="0"/>
          <w:caps w:val="0"/>
          <w:color w:val="8E8E8E"/>
          <w:spacing w:val="0"/>
          <w:kern w:val="0"/>
          <w:sz w:val="21"/>
          <w:szCs w:val="21"/>
          <w:bdr w:val="none" w:color="auto" w:sz="0" w:space="0"/>
          <w:shd w:val="clear" w:fill="FFFFFF"/>
          <w:lang w:val="en-US" w:eastAsia="zh-CN" w:bidi="ar"/>
        </w:rPr>
        <w:t>发布日期：2026-04-02  浏览次数：568</w:t>
      </w:r>
    </w:p>
    <w:p w14:paraId="094606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center"/>
        <w:textAlignment w:val="auto"/>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东莞市人民政府办公室关于印发《东莞市加快场景培育和开放 推动“智创优品、和美宜居”新场景应用实施方案</w:t>
      </w:r>
    </w:p>
    <w:p w14:paraId="0AC7E2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center"/>
        <w:textAlignment w:val="auto"/>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（2026—2028年）》的通知</w:t>
      </w:r>
    </w:p>
    <w:p w14:paraId="07585F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center"/>
        <w:textAlignment w:val="auto"/>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东府办〔2026〕7号</w:t>
      </w:r>
    </w:p>
    <w:p w14:paraId="360DCA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both"/>
        <w:textAlignment w:val="auto"/>
        <w:rPr>
          <w:color w:val="424242"/>
          <w:sz w:val="24"/>
          <w:szCs w:val="24"/>
        </w:rPr>
      </w:pPr>
    </w:p>
    <w:p w14:paraId="68621D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both"/>
        <w:textAlignment w:val="auto"/>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各镇人民政府（街道办事处、园区管委会），市府直属各单位：</w:t>
      </w:r>
    </w:p>
    <w:p w14:paraId="24DF33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both"/>
        <w:textAlignment w:val="auto"/>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《东莞市加快场景培育和开放 推动“智创优品、和美宜居”新场景应用实施方案（2026—2028年）》业经市人民政府同意，现印发给你们，请认真贯彻执行。</w:t>
      </w:r>
    </w:p>
    <w:p w14:paraId="75B35D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both"/>
        <w:textAlignment w:val="auto"/>
        <w:rPr>
          <w:color w:val="424242"/>
          <w:sz w:val="24"/>
          <w:szCs w:val="24"/>
        </w:rPr>
      </w:pPr>
    </w:p>
    <w:p w14:paraId="73E380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right"/>
        <w:textAlignment w:val="auto"/>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东莞市人民政府办公室</w:t>
      </w:r>
    </w:p>
    <w:p w14:paraId="6AB128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0" w:lineRule="atLeast"/>
        <w:ind w:left="0" w:right="0"/>
        <w:jc w:val="right"/>
        <w:textAlignment w:val="auto"/>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2026年3月22日     </w:t>
      </w:r>
    </w:p>
    <w:p w14:paraId="05462A8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东莞市加快场景培育和开放 推动“智创优品、和美宜居”新场景应用实施方案</w:t>
      </w:r>
    </w:p>
    <w:p w14:paraId="1318B44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（2026—2028年）</w:t>
      </w:r>
    </w:p>
    <w:p w14:paraId="16E9B4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p>
    <w:p w14:paraId="29D88C2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为贯彻落实《国务院办公厅关于加快场景培育和开放推动新场景大规模应用的实施意见》（国办发〔2025〕37号）精神，发挥场景创新牵引作用，推动新技术、新产品、新模式在东莞率先实现规模化、商业化应用，赋能东莞高质量发展，特制定本实施方案。</w:t>
      </w:r>
    </w:p>
    <w:p w14:paraId="0E7835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一、总体思路</w:t>
      </w:r>
    </w:p>
    <w:p w14:paraId="66B0216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紧密围绕“智创优品、和美宜居”城市发展战略目标，将场景创新作为推动产业转型升级、提升城市综合竞争力的战略抓手，加速技术、场景和产业深度融合，将东莞的制造基础、市场空间和应用需求，转化为发展新质生产力的核心优势，为打造粤港澳大湾区科创制造强市提供坚实支撑。</w:t>
      </w:r>
    </w:p>
    <w:p w14:paraId="702136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二、工作目标</w:t>
      </w:r>
    </w:p>
    <w:p w14:paraId="2B75F9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到2028年，基本形成高效协同的场景创新工作格局，建成全国领先的场景开放与应用标杆城市。</w:t>
      </w:r>
    </w:p>
    <w:p w14:paraId="1321A68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一）场景机会有效释放。形成“政府引导、多元参与、全域开放、共建共享”的场景建设格局，力争打造5个以上具有全国影响力的“城市名片级”重大场景，培育和开放200个以上技术含量高、应用价值大、市场潜力足的高价值场景。</w:t>
      </w:r>
    </w:p>
    <w:p w14:paraId="6D414C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二）场景能力广泛集聚。建立专业化场景能力遴选与培育赋能机制，重点培育一批掌握核心技术、具备场景解决方案供给能力的企业和创新团队，力争集聚各类优质场景能力超过200个。强化场景供需精准匹配，促成一批高价值、可复制、易推广的细分场景解决方案实现规模化、商业化应用。</w:t>
      </w:r>
    </w:p>
    <w:p w14:paraId="4D8D72D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三）场景生态持续完善。集聚一批市场化场景创新专业服务机构，场景创新服务体系更加健全，赋能和链接各类主体超过1000家次。在促进场景资源公平高效配置和协同推进准入、场景、要素改革等方面形成一批可复制推广的“东莞经验”。</w:t>
      </w:r>
    </w:p>
    <w:p w14:paraId="2D5D23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三、重点领域</w:t>
      </w:r>
    </w:p>
    <w:p w14:paraId="3B6718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重点聚焦新领域新赛道、产业转型升级、城市智慧治理、社会民生服务四大领域19个方向开展应用场景创新，加快人工智能、无人机、具身智能等新技术、新产品落地应用。</w:t>
      </w:r>
    </w:p>
    <w:p w14:paraId="3B6F3C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（一）新领域新赛道</w:t>
      </w:r>
    </w:p>
    <w:p w14:paraId="054E6D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——人工智能领域，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深入实施“人工智能+”行动，围绕“人工智能+”先进制造、城市治理、政务服务、医疗健康等方面培育开放高价值应用场景，推动新一代智能终端、智能体的应用普及，布局人工智能OPC生态社区，建设人工智能融合应用与成果转化示范高地。（市工业和信息化局）</w:t>
      </w:r>
    </w:p>
    <w:p w14:paraId="142B83D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——低空经济领域，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打造“一网统飞”的全域低空智能巡检场景，构建“低空+医疗”“低空+文旅”等多元载人场景。拓展工业厂区作业、城市末端物流配送等载物场景，推广农业无人机作业服务。完善低空智联网、标准化起降点位等配套设施，健全低空飞行协同管理机制。（市发展改革局）</w:t>
      </w:r>
    </w:p>
    <w:p w14:paraId="0F46E5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——无人驾驶领域，</w:t>
      </w:r>
      <w:r>
        <w:rPr>
          <w:rFonts w:hint="eastAsia" w:ascii="微软雅黑" w:hAnsi="微软雅黑" w:eastAsia="微软雅黑" w:cs="微软雅黑"/>
          <w:i w:val="0"/>
          <w:iCs w:val="0"/>
          <w:caps w:val="0"/>
          <w:color w:val="424242"/>
          <w:spacing w:val="0"/>
          <w:sz w:val="24"/>
          <w:szCs w:val="24"/>
          <w:bdr w:val="none" w:color="auto" w:sz="0" w:space="0"/>
          <w:shd w:val="clear" w:fill="FFFFFF"/>
        </w:rPr>
        <w:t>加快打造东莞无人驾驶标杆场景，支持自动驾驶头部企业开展规模化运营，推动无人配送、无人环卫车作业等应用场景培育和开放。依托“车路云一体化”基础设施建设，带动智能网联汽车核心零部件产业提质升级。（市工业和信息化局）</w:t>
      </w:r>
    </w:p>
    <w:p w14:paraId="7153861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——智能终端领域，</w:t>
      </w:r>
      <w:r>
        <w:rPr>
          <w:rFonts w:hint="eastAsia" w:ascii="微软雅黑" w:hAnsi="微软雅黑" w:eastAsia="微软雅黑" w:cs="微软雅黑"/>
          <w:i w:val="0"/>
          <w:iCs w:val="0"/>
          <w:caps w:val="0"/>
          <w:color w:val="424242"/>
          <w:spacing w:val="0"/>
          <w:sz w:val="24"/>
          <w:szCs w:val="24"/>
          <w:bdr w:val="none" w:color="auto" w:sz="0" w:space="0"/>
          <w:shd w:val="clear" w:fill="FFFFFF"/>
        </w:rPr>
        <w:t>聚焦智能手机、智能穿戴、智能家居、车载智能终端、VR/AR/XR终端等重点领域，打造智能终端产品在智慧办公、智慧家居、智慧出行、智慧教育、智慧健康等领域的规模化场景应用，打造特色终端产业集聚区，常态化征集智能终端应用场景。（市工业和信息化局）</w:t>
      </w:r>
    </w:p>
    <w:p w14:paraId="6B22EC2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——具身智能领域，</w:t>
      </w:r>
      <w:r>
        <w:rPr>
          <w:rFonts w:hint="eastAsia" w:ascii="微软雅黑" w:hAnsi="微软雅黑" w:eastAsia="微软雅黑" w:cs="微软雅黑"/>
          <w:i w:val="0"/>
          <w:iCs w:val="0"/>
          <w:caps w:val="0"/>
          <w:color w:val="424242"/>
          <w:spacing w:val="0"/>
          <w:sz w:val="24"/>
          <w:szCs w:val="24"/>
          <w:bdr w:val="none" w:color="auto" w:sz="0" w:space="0"/>
          <w:shd w:val="clear" w:fill="FFFFFF"/>
        </w:rPr>
        <w:t>聚焦工业制造、民生服务、特种作业三大方向，打造工业机器人精密加工、协作装配等工业级应用场景，拓展政务、陪护、环卫等民生服务场景，布局应急救援、高危作业、安全巡检等特种机器人应用场景，推动人形机器人在制造业、服务业的试点验证。（市工业和信息化局）</w:t>
      </w:r>
    </w:p>
    <w:p w14:paraId="4CF36CE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——新能源领域，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打造清洁能源车辆运输、光储充换氢一体化、能源生产智慧管理、智能电网、虚拟电厂、高温超导输电等应用场景，加快完善氢能补给设施布局，推动氢能“制储输用”全链条一体化发展。构建多能互补、源网荷储协同的新型能源体系。（市发展改革局）</w:t>
      </w:r>
    </w:p>
    <w:p w14:paraId="0E1619E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——半导体及集成电路领域，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整合新一代电子信息、高端装备、人工智能、低空经济等领域应用需求，围绕第三代半导体材料及器件、先进封装技术、先进半导体设备等领域，开放新型材料、装备验证应用场景，推动半导体及集成电路与终端产品深度融合。（市发展改革局）</w:t>
      </w:r>
    </w:p>
    <w:p w14:paraId="624EB7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——新材料领域，</w:t>
      </w:r>
      <w:r>
        <w:rPr>
          <w:rFonts w:hint="eastAsia" w:ascii="微软雅黑" w:hAnsi="微软雅黑" w:eastAsia="微软雅黑" w:cs="微软雅黑"/>
          <w:i w:val="0"/>
          <w:iCs w:val="0"/>
          <w:caps w:val="0"/>
          <w:color w:val="424242"/>
          <w:spacing w:val="0"/>
          <w:sz w:val="24"/>
          <w:szCs w:val="24"/>
          <w:bdr w:val="none" w:color="auto" w:sz="0" w:space="0"/>
          <w:shd w:val="clear" w:fill="FFFFFF"/>
        </w:rPr>
        <w:t>立足我市重大科技基础设施，打造关键材料研发和中试验证、极端条件材料性能表征、轻量化结构材料适配应用等应用场景，推进重大科技研发项目产业化应用。（市科技局）</w:t>
      </w:r>
    </w:p>
    <w:p w14:paraId="2121D07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——海洋经济领域，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把握核心港口枢纽优势与海洋产业发展基础，打造海岛生态观光、智慧港口运营、无人船（艇）巡检、近岸航运智能调度、海洋环境智能监测等场景，培育壮大海洋经济新增长极。（市发展改革局）</w:t>
      </w:r>
    </w:p>
    <w:p w14:paraId="363386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（二）产业转型升级</w:t>
      </w:r>
    </w:p>
    <w:p w14:paraId="63EA13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——制造业领域，</w:t>
      </w:r>
      <w:r>
        <w:rPr>
          <w:rFonts w:hint="eastAsia" w:ascii="微软雅黑" w:hAnsi="微软雅黑" w:eastAsia="微软雅黑" w:cs="微软雅黑"/>
          <w:i w:val="0"/>
          <w:iCs w:val="0"/>
          <w:caps w:val="0"/>
          <w:color w:val="424242"/>
          <w:spacing w:val="0"/>
          <w:sz w:val="24"/>
          <w:szCs w:val="24"/>
          <w:bdr w:val="none" w:color="auto" w:sz="0" w:space="0"/>
          <w:shd w:val="clear" w:fill="FFFFFF"/>
        </w:rPr>
        <w:t>聚焦生产、物流、销售等核心环节，打造机器视觉检测、智能调度排产、智能分拣仓储、数字孪生车间、智能工厂、高标准数字园区、零碳园区、物流智能管控、全流程质量溯源、个性化产品定制等应用场景，推动产业加速智能化、绿色化、融合化发展。（市工业和信息化局）</w:t>
      </w:r>
    </w:p>
    <w:p w14:paraId="14E271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——金融服务领域，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深化大数据、人工智能等技术在金融领域的创新应用，打造供应链数据追踪与智能风险研判、智能营销、智能风控、区块链跨境便捷支付、数字人民币商圈等应用场景，形成一批智能金融标杆场景。（市委金融办）</w:t>
      </w:r>
    </w:p>
    <w:p w14:paraId="4CBFC4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——现代农业领域，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打造荔枝智慧种植、智慧渔场、病虫害智能监测预警与统防统治、气候智能适配、冷链保鲜智能管控、农产品生鲜即时配送等应用场景。依托千亿级食品饮料产业集群，打造预制菜智能生产加工、风味保真、营养调控、质量安全追溯等应用场景。（市农业农村局）</w:t>
      </w:r>
    </w:p>
    <w:p w14:paraId="5E1312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（三）城市智慧治理</w:t>
      </w:r>
    </w:p>
    <w:p w14:paraId="722F04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——政务服务领域，</w:t>
      </w:r>
      <w:r>
        <w:rPr>
          <w:rFonts w:hint="eastAsia" w:ascii="微软雅黑" w:hAnsi="微软雅黑" w:eastAsia="微软雅黑" w:cs="微软雅黑"/>
          <w:i w:val="0"/>
          <w:iCs w:val="0"/>
          <w:caps w:val="0"/>
          <w:color w:val="424242"/>
          <w:spacing w:val="0"/>
          <w:sz w:val="24"/>
          <w:szCs w:val="24"/>
          <w:bdr w:val="none" w:color="auto" w:sz="0" w:space="0"/>
          <w:shd w:val="clear" w:fill="FFFFFF"/>
        </w:rPr>
        <w:t>聚焦智慧政务建设，推进开源鸿蒙系统在政务服务、市政管理等领域适配，推动智能客服、智能知识库、审前服务、智能预审等场景的建设与应用。探索创新高校毕业生、新就业形态劳动者等重点群体就业公共服务需求场景。（市政务和数据局）</w:t>
      </w:r>
    </w:p>
    <w:p w14:paraId="0A1BCB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——交通管理领域，</w:t>
      </w:r>
      <w:r>
        <w:rPr>
          <w:rFonts w:hint="eastAsia" w:ascii="微软雅黑" w:hAnsi="微软雅黑" w:eastAsia="微软雅黑" w:cs="微软雅黑"/>
          <w:i w:val="0"/>
          <w:iCs w:val="0"/>
          <w:caps w:val="0"/>
          <w:color w:val="424242"/>
          <w:spacing w:val="0"/>
          <w:sz w:val="24"/>
          <w:szCs w:val="24"/>
          <w:bdr w:val="none" w:color="auto" w:sz="0" w:space="0"/>
          <w:shd w:val="clear" w:fill="FFFFFF"/>
        </w:rPr>
        <w:t>进一步开放自动驾驶汽车等智慧出行应用场景。推动智慧公路、智慧首末站、智慧停车、智慧物流枢纽建设，探索无人配送车、叉车、清扫车在配送、仓储物流及市政保洁中的规模化应用，开放智慧港口、公交场站智慧管理、客运枢纽智能调度、轨道交通智慧便民场景。（市交通运输局）</w:t>
      </w:r>
    </w:p>
    <w:p w14:paraId="7C880C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——环境监管领域，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打造区域环境智能监控与预警场景，利用无人机、机器人、智能监测站等技术对重点流域、工业园区等实施动态环境监测。提升水利水务智能化水平，打造城市管道智能监管、供水排水智慧运维、水环境综合治理等场景。（市生态环境局）</w:t>
      </w:r>
    </w:p>
    <w:p w14:paraId="2F4E03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——安全应急领域，</w:t>
      </w:r>
      <w:r>
        <w:rPr>
          <w:rFonts w:hint="eastAsia" w:ascii="微软雅黑" w:hAnsi="微软雅黑" w:eastAsia="微软雅黑" w:cs="微软雅黑"/>
          <w:i w:val="0"/>
          <w:iCs w:val="0"/>
          <w:caps w:val="0"/>
          <w:color w:val="424242"/>
          <w:spacing w:val="0"/>
          <w:sz w:val="24"/>
          <w:szCs w:val="24"/>
          <w:bdr w:val="none" w:color="auto" w:sz="0" w:space="0"/>
          <w:shd w:val="clear" w:fill="FFFFFF"/>
        </w:rPr>
        <w:t>围绕消防安全、生产安全、社会治安及交通安全等方向，摸排打造消防安全智能巡查、生产安全智慧监控、大型活动立体巡防等场景，加强智能搜救、无人救援、低空救援、交通事故快速救援等技术和装备创新应用。（市应急管理局）</w:t>
      </w:r>
    </w:p>
    <w:p w14:paraId="031C887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（四）社会民生服务</w:t>
      </w:r>
    </w:p>
    <w:p w14:paraId="50E2A5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——养老服务领域，</w:t>
      </w:r>
      <w:r>
        <w:rPr>
          <w:rFonts w:hint="eastAsia" w:ascii="微软雅黑" w:hAnsi="微软雅黑" w:eastAsia="微软雅黑" w:cs="微软雅黑"/>
          <w:i w:val="0"/>
          <w:iCs w:val="0"/>
          <w:caps w:val="0"/>
          <w:color w:val="424242"/>
          <w:spacing w:val="0"/>
          <w:sz w:val="24"/>
          <w:szCs w:val="24"/>
          <w:bdr w:val="none" w:color="auto" w:sz="0" w:space="0"/>
          <w:shd w:val="clear" w:fill="FFFFFF"/>
        </w:rPr>
        <w:t>加快开放智慧居家与社区养老场景，推广智能健康监测、行为监测等设备终端。推动养老院智慧化改造，推广护理机器人、无障碍助行设备及AI语音交互终端等应用。围绕老年群体的康复辅助、文旅休闲、智能家居需求，开放一批“银发优品”场景。（市民政局）</w:t>
      </w:r>
    </w:p>
    <w:p w14:paraId="6C8DD5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——教育培训领域，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支持一批学校试点开放心理健康监测预警、异常行为预警、智慧体育训练、个性化学习辅导及虚拟课堂等场景。深化人工智能技术赋能教育基础设施，打造智慧校园、智慧校舍等融合应用场景。（市教育局）</w:t>
      </w:r>
    </w:p>
    <w:p w14:paraId="4F6334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——医疗健康领域，</w:t>
      </w:r>
      <w:r>
        <w:rPr>
          <w:rFonts w:hint="eastAsia" w:ascii="微软雅黑" w:hAnsi="微软雅黑" w:eastAsia="微软雅黑" w:cs="微软雅黑"/>
          <w:i w:val="0"/>
          <w:iCs w:val="0"/>
          <w:caps w:val="0"/>
          <w:color w:val="424242"/>
          <w:spacing w:val="0"/>
          <w:sz w:val="24"/>
          <w:szCs w:val="24"/>
          <w:bdr w:val="none" w:color="auto" w:sz="0" w:space="0"/>
          <w:shd w:val="clear" w:fill="FFFFFF"/>
        </w:rPr>
        <w:t>深化智能设备集成应用，建设医疗健康可信数据空间。以市人民医院为试点，推动医疗机构开放低空转运医疗急救、无人机药品配送、临床辅助决策、医学影像诊断、医疗文书质控等医疗应用场景，推广智能导诊、移动医疗、线上家庭医生等医疗服务场景。（市卫生健康局）</w:t>
      </w:r>
    </w:p>
    <w:p w14:paraId="2E646B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四、重点任务</w:t>
      </w:r>
    </w:p>
    <w:p w14:paraId="6EB8A4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（一）精准挖掘场景机会</w:t>
      </w:r>
    </w:p>
    <w:p w14:paraId="747F45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1.推动政府率先开放应用场景。</w:t>
      </w:r>
      <w:r>
        <w:rPr>
          <w:rFonts w:hint="eastAsia" w:ascii="微软雅黑" w:hAnsi="微软雅黑" w:eastAsia="微软雅黑" w:cs="微软雅黑"/>
          <w:i w:val="0"/>
          <w:iCs w:val="0"/>
          <w:caps w:val="0"/>
          <w:color w:val="424242"/>
          <w:spacing w:val="0"/>
          <w:sz w:val="24"/>
          <w:szCs w:val="24"/>
          <w:bdr w:val="none" w:color="auto" w:sz="0" w:space="0"/>
          <w:shd w:val="clear" w:fill="FFFFFF"/>
        </w:rPr>
        <w:t>强化行业主管部门先行引领，围绕城市治理、民生服务、政府运行等重点领域和重大项目建设，加强场景资源挖掘和需求梳理，率先开放应用场景，为新技术新产品提供试验、转化及落地机会。（各有关部门按照职能分工负责）</w:t>
      </w:r>
    </w:p>
    <w:p w14:paraId="45E615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2.支持镇街因地制宜开放场景。</w:t>
      </w:r>
      <w:r>
        <w:rPr>
          <w:rFonts w:hint="eastAsia" w:ascii="微软雅黑" w:hAnsi="微软雅黑" w:eastAsia="微软雅黑" w:cs="微软雅黑"/>
          <w:i w:val="0"/>
          <w:iCs w:val="0"/>
          <w:caps w:val="0"/>
          <w:color w:val="424242"/>
          <w:spacing w:val="0"/>
          <w:sz w:val="24"/>
          <w:szCs w:val="24"/>
          <w:bdr w:val="none" w:color="auto" w:sz="0" w:space="0"/>
          <w:shd w:val="clear" w:fill="FFFFFF"/>
        </w:rPr>
        <w:t>鼓励各镇街（园区）结合产业特色优势和民生需求，强化资源整合、政策集成与要素保障，坚持试点先行、典型引路，挖掘和培育应用场景开放，打造十大场景创新城市地标，加快形成一批标杆性场景。[各部门、镇街（园区）按照职能分工负责]</w:t>
      </w:r>
    </w:p>
    <w:p w14:paraId="0ADFF71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3.推动国有企业开放主业领域场景。</w:t>
      </w:r>
      <w:r>
        <w:rPr>
          <w:rFonts w:hint="eastAsia" w:ascii="微软雅黑" w:hAnsi="微软雅黑" w:eastAsia="微软雅黑" w:cs="微软雅黑"/>
          <w:i w:val="0"/>
          <w:iCs w:val="0"/>
          <w:caps w:val="0"/>
          <w:color w:val="424242"/>
          <w:spacing w:val="0"/>
          <w:sz w:val="24"/>
          <w:szCs w:val="24"/>
          <w:bdr w:val="none" w:color="auto" w:sz="0" w:space="0"/>
          <w:shd w:val="clear" w:fill="FFFFFF"/>
        </w:rPr>
        <w:t>鼓励中央驻莞企业、市属国有企业立足自身资源优势和发展需求，主动开放主业领域场景资源，加强与科技企业协同联动，开展场景共创共建。（市发展改革局、市国资委）</w:t>
      </w:r>
    </w:p>
    <w:p w14:paraId="54624D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4.支持龙头企业牵头打造场景实验室。</w:t>
      </w:r>
      <w:r>
        <w:rPr>
          <w:rFonts w:hint="eastAsia" w:ascii="微软雅黑" w:hAnsi="微软雅黑" w:eastAsia="微软雅黑" w:cs="微软雅黑"/>
          <w:i w:val="0"/>
          <w:iCs w:val="0"/>
          <w:caps w:val="0"/>
          <w:color w:val="424242"/>
          <w:spacing w:val="0"/>
          <w:sz w:val="24"/>
          <w:szCs w:val="24"/>
          <w:bdr w:val="none" w:color="auto" w:sz="0" w:space="0"/>
          <w:shd w:val="clear" w:fill="FFFFFF"/>
        </w:rPr>
        <w:t>支持龙头企业开放生产、运营与服务场景，联动产业链上下游高校、科研院所、科技企业等，共同组建场景实验室，提供联合开发、测试验证、应用采购等专业服务。（市发展改革局、市科技局、市国资委、科创集团）</w:t>
      </w:r>
    </w:p>
    <w:p w14:paraId="4E9ADE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5.引导各类市场主体参与场景培育开放。</w:t>
      </w:r>
      <w:r>
        <w:rPr>
          <w:rFonts w:hint="eastAsia" w:ascii="微软雅黑" w:hAnsi="微软雅黑" w:eastAsia="微软雅黑" w:cs="微软雅黑"/>
          <w:i w:val="0"/>
          <w:iCs w:val="0"/>
          <w:caps w:val="0"/>
          <w:color w:val="424242"/>
          <w:spacing w:val="0"/>
          <w:sz w:val="24"/>
          <w:szCs w:val="24"/>
          <w:bdr w:val="none" w:color="auto" w:sz="0" w:space="0"/>
          <w:shd w:val="clear" w:fill="FFFFFF"/>
        </w:rPr>
        <w:t>鼓励民营企业、行业组织等积极参与场景开放，持续释放高价值场景机会，推动场景资源优化配置，让更多市场主体共享场景创新红利。（市发展改革局、市工业和信息化局）</w:t>
      </w:r>
    </w:p>
    <w:p w14:paraId="52B5C0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（二）全面提升场景能力</w:t>
      </w:r>
    </w:p>
    <w:p w14:paraId="4EAACA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6.发布场景能力清单。</w:t>
      </w:r>
      <w:r>
        <w:rPr>
          <w:rFonts w:hint="eastAsia" w:ascii="微软雅黑" w:hAnsi="微软雅黑" w:eastAsia="微软雅黑" w:cs="微软雅黑"/>
          <w:i w:val="0"/>
          <w:iCs w:val="0"/>
          <w:caps w:val="0"/>
          <w:color w:val="424242"/>
          <w:spacing w:val="0"/>
          <w:sz w:val="24"/>
          <w:szCs w:val="24"/>
          <w:bdr w:val="none" w:color="auto" w:sz="0" w:space="0"/>
          <w:shd w:val="clear" w:fill="FFFFFF"/>
        </w:rPr>
        <w:t>面向全市创新型企业、高校、科研院所等创新主体，常态化征集其在关键技术研发、高端产品制造、解决方案供给等方面的核心优势，形成场景能力清单并定期发布。（市发展改革局、市国资委、科创集团）</w:t>
      </w:r>
    </w:p>
    <w:p w14:paraId="176A71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7.探索开展场景招商。</w:t>
      </w:r>
      <w:r>
        <w:rPr>
          <w:rFonts w:hint="eastAsia" w:ascii="微软雅黑" w:hAnsi="微软雅黑" w:eastAsia="微软雅黑" w:cs="微软雅黑"/>
          <w:i w:val="0"/>
          <w:iCs w:val="0"/>
          <w:caps w:val="0"/>
          <w:color w:val="424242"/>
          <w:spacing w:val="0"/>
          <w:sz w:val="24"/>
          <w:szCs w:val="24"/>
          <w:bdr w:val="none" w:color="auto" w:sz="0" w:space="0"/>
          <w:shd w:val="clear" w:fill="FFFFFF"/>
        </w:rPr>
        <w:t>依托东莞全球招商大会等重要平台活动，向全国乃至全球推介优质场景机会，精准对接国内外创新型企业、高层次人才团队、顶尖科研项目，吸引优质创新资源在莞集聚落地。（市投资促进局、市科技局）</w:t>
      </w:r>
    </w:p>
    <w:p w14:paraId="0480A03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8.构建场景能力企业赋能体系。</w:t>
      </w:r>
      <w:r>
        <w:rPr>
          <w:rFonts w:hint="eastAsia" w:ascii="微软雅黑" w:hAnsi="微软雅黑" w:eastAsia="微软雅黑" w:cs="微软雅黑"/>
          <w:i w:val="0"/>
          <w:iCs w:val="0"/>
          <w:caps w:val="0"/>
          <w:color w:val="424242"/>
          <w:spacing w:val="0"/>
          <w:sz w:val="24"/>
          <w:szCs w:val="24"/>
          <w:bdr w:val="none" w:color="auto" w:sz="0" w:space="0"/>
          <w:shd w:val="clear" w:fill="FFFFFF"/>
        </w:rPr>
        <w:t>聚焦企业成长需求，构建全方位、全周期赋能服务体系，提供场景打磨、对接、路演、“场景+投资”等服务，助力企业提升场景创新能力。（市发展改革局、市国资委、科创集团）</w:t>
      </w:r>
    </w:p>
    <w:p w14:paraId="1B253C8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（三）有效促进场景落地</w:t>
      </w:r>
    </w:p>
    <w:p w14:paraId="4EC0BE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9.建设场景创新中心。</w:t>
      </w:r>
      <w:r>
        <w:rPr>
          <w:rFonts w:hint="eastAsia" w:ascii="微软雅黑" w:hAnsi="微软雅黑" w:eastAsia="微软雅黑" w:cs="微软雅黑"/>
          <w:i w:val="0"/>
          <w:iCs w:val="0"/>
          <w:caps w:val="0"/>
          <w:color w:val="424242"/>
          <w:spacing w:val="0"/>
          <w:sz w:val="24"/>
          <w:szCs w:val="24"/>
          <w:bdr w:val="none" w:color="auto" w:sz="0" w:space="0"/>
          <w:shd w:val="clear" w:fill="FFFFFF"/>
        </w:rPr>
        <w:t>规划建设市级场景创新展示中心，鼓励各镇街（园区）因地制宜打造一批特色化场景创新展示分中心，集中展示新技术、新产品落地应用成效，构建“1”个市级主中心、“N”个镇街（园区）分中心的全域展示体系。[科创集团、市国资委、各镇街（园区）]</w:t>
      </w:r>
    </w:p>
    <w:p w14:paraId="4AC34C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10.开发在线场景发布平台。</w:t>
      </w:r>
      <w:r>
        <w:rPr>
          <w:rFonts w:hint="eastAsia" w:ascii="微软雅黑" w:hAnsi="微软雅黑" w:eastAsia="微软雅黑" w:cs="微软雅黑"/>
          <w:i w:val="0"/>
          <w:iCs w:val="0"/>
          <w:caps w:val="0"/>
          <w:color w:val="424242"/>
          <w:spacing w:val="0"/>
          <w:sz w:val="24"/>
          <w:szCs w:val="24"/>
          <w:bdr w:val="none" w:color="auto" w:sz="0" w:space="0"/>
          <w:shd w:val="clear" w:fill="FFFFFF"/>
        </w:rPr>
        <w:t>打造集场景清单发布、场景供需对接、政策推送、项目跟踪、数据统计分析等功能于一体的在线场景发布平台，实现全流程线上化、可视化管理，提升场景供需对接与资源配置效率。（科创集团）</w:t>
      </w:r>
    </w:p>
    <w:p w14:paraId="3AEB52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11.常态化开展场景供需对接活动。</w:t>
      </w:r>
      <w:r>
        <w:rPr>
          <w:rFonts w:hint="eastAsia" w:ascii="微软雅黑" w:hAnsi="微软雅黑" w:eastAsia="微软雅黑" w:cs="微软雅黑"/>
          <w:i w:val="0"/>
          <w:iCs w:val="0"/>
          <w:caps w:val="0"/>
          <w:color w:val="424242"/>
          <w:spacing w:val="0"/>
          <w:sz w:val="24"/>
          <w:szCs w:val="24"/>
          <w:bdr w:val="none" w:color="auto" w:sz="0" w:space="0"/>
          <w:shd w:val="clear" w:fill="FFFFFF"/>
        </w:rPr>
        <w:t>坚持“引进来”与“走出去”相结合，搭建场景供需对接桥梁，促进技术、产品与场景需求精准匹配，助推场景项目快速落地实施。（市发展改革局、市国资委、科创集团）</w:t>
      </w:r>
    </w:p>
    <w:p w14:paraId="6FD0C2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12.打造场景标杆案例。</w:t>
      </w:r>
      <w:r>
        <w:rPr>
          <w:rFonts w:hint="eastAsia" w:ascii="微软雅黑" w:hAnsi="微软雅黑" w:eastAsia="微软雅黑" w:cs="微软雅黑"/>
          <w:i w:val="0"/>
          <w:iCs w:val="0"/>
          <w:caps w:val="0"/>
          <w:color w:val="424242"/>
          <w:spacing w:val="0"/>
          <w:sz w:val="24"/>
          <w:szCs w:val="24"/>
          <w:bdr w:val="none" w:color="auto" w:sz="0" w:space="0"/>
          <w:shd w:val="clear" w:fill="FFFFFF"/>
        </w:rPr>
        <w:t>建立场景创新典型案例遴选机制，及时挖掘技术领先、成效显著、可复制推广的场景创新典型案例，通过宣传推广，加速场景创新模式引领普及。（市发展改革局、市国资委、科创集团）</w:t>
      </w:r>
    </w:p>
    <w:p w14:paraId="5A655B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（四）营造良好场景生态</w:t>
      </w:r>
    </w:p>
    <w:p w14:paraId="0F50E1E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13.塑造场景创新交流品牌。</w:t>
      </w:r>
      <w:r>
        <w:rPr>
          <w:rFonts w:hint="eastAsia" w:ascii="微软雅黑" w:hAnsi="微软雅黑" w:eastAsia="微软雅黑" w:cs="微软雅黑"/>
          <w:i w:val="0"/>
          <w:iCs w:val="0"/>
          <w:caps w:val="0"/>
          <w:color w:val="424242"/>
          <w:spacing w:val="0"/>
          <w:sz w:val="24"/>
          <w:szCs w:val="24"/>
          <w:bdr w:val="none" w:color="auto" w:sz="0" w:space="0"/>
          <w:shd w:val="clear" w:fill="FFFFFF"/>
        </w:rPr>
        <w:t>聚焦我市特色应用场景方向，高标准策划举办场景创新大会，打造具有全国影响力的场景创新交流合作品牌。策划举办场景创新大赛，面向全国广泛征集优秀场景解决方案与创新项目。（市发展改革局、市国资委、科创集团）</w:t>
      </w:r>
    </w:p>
    <w:p w14:paraId="778DB8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　　14.探索场景服务合伙人机制。</w:t>
      </w:r>
      <w:r>
        <w:rPr>
          <w:rFonts w:hint="eastAsia" w:ascii="微软雅黑" w:hAnsi="微软雅黑" w:eastAsia="微软雅黑" w:cs="微软雅黑"/>
          <w:i w:val="0"/>
          <w:iCs w:val="0"/>
          <w:caps w:val="0"/>
          <w:color w:val="424242"/>
          <w:spacing w:val="0"/>
          <w:sz w:val="24"/>
          <w:szCs w:val="24"/>
          <w:bdr w:val="none" w:color="auto" w:sz="0" w:space="0"/>
          <w:shd w:val="clear" w:fill="FFFFFF"/>
        </w:rPr>
        <w:t>面向全社会公开招募具有专业服务能力的社会机构作为场景服务合伙人，充实场景服务专业力量。依据任务落实情况及产出贡献情况，配套给予场地、运营经费等政策支持。（市发展改革局、市国资委、科创集团）</w:t>
      </w:r>
    </w:p>
    <w:p w14:paraId="4228E1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五、保障措施</w:t>
      </w:r>
    </w:p>
    <w:p w14:paraId="10D912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（一）加强统筹协调</w:t>
      </w:r>
    </w:p>
    <w:p w14:paraId="6A9E5C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构建场景创新工作机制，推动各有关部门、镇街（园区）共同参与。建立跨部门议事协调机制，明确各单位专人负责。定期召开专题会议，研究部署重大改革创新举措，协调解决卡点堵点问题。[市发展改革局、各有关单位、各镇街（园区）]</w:t>
      </w:r>
    </w:p>
    <w:p w14:paraId="7021BB4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（二）加强要素支持</w:t>
      </w:r>
    </w:p>
    <w:p w14:paraId="533234E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鼓励依法依规采用单一来源采购、订购首购等方式，支持首台（套）装备、首批次材料、首版次软件推广应用。结合场景布局需要与特点，保障土地要素供给。完善公共数据与行业数据共享流通规则，前瞻布局数字基础设施。支持高校、院所科研人员以技术入股、兼职创新等方式参与场景项目。[市发展改革局、各有关单位、各镇街（园区）]</w:t>
      </w:r>
    </w:p>
    <w:p w14:paraId="249F70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（三）加强机制保障</w:t>
      </w:r>
    </w:p>
    <w:p w14:paraId="1A4BD2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实施包容审慎监管，建立场景创新“监管沙盒”工作机制，对新技术新产品实施“观察期”管理，推行柔性监管、负面清单等监管制度。对应用场景创新解决方案采购相关负责人，依法依规采取“尽职免责”监管模式，营造支持应用场景开放、鼓励创新、宽容失败的良好环境。（市发展改革局、市国资委、科创集团）</w:t>
      </w:r>
    </w:p>
    <w:p w14:paraId="1764EA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bookmarkStart w:id="0" w:name="_GoBack"/>
      <w:bookmarkEnd w:id="0"/>
    </w:p>
    <w:p w14:paraId="68CEFE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附件：十大场景创新城市地标</w:t>
      </w:r>
    </w:p>
    <w:p w14:paraId="0405EEC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p>
    <w:p w14:paraId="28615A1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附件</w:t>
      </w:r>
    </w:p>
    <w:p w14:paraId="2D4C5B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center"/>
        <w:rPr>
          <w:color w:val="424242"/>
          <w:sz w:val="24"/>
          <w:szCs w:val="24"/>
        </w:rPr>
      </w:pPr>
      <w:r>
        <w:rPr>
          <w:rStyle w:val="6"/>
          <w:rFonts w:hint="eastAsia" w:ascii="微软雅黑" w:hAnsi="微软雅黑" w:eastAsia="微软雅黑" w:cs="微软雅黑"/>
          <w:i w:val="0"/>
          <w:iCs w:val="0"/>
          <w:caps w:val="0"/>
          <w:color w:val="424242"/>
          <w:spacing w:val="0"/>
          <w:sz w:val="24"/>
          <w:szCs w:val="24"/>
          <w:bdr w:val="none" w:color="auto" w:sz="0" w:space="0"/>
          <w:shd w:val="clear" w:fill="FFFFFF"/>
        </w:rPr>
        <w:t>十大场景创新城市地标</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450"/>
        <w:gridCol w:w="1182"/>
        <w:gridCol w:w="5477"/>
        <w:gridCol w:w="1404"/>
      </w:tblGrid>
      <w:tr w14:paraId="6A0122F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D9530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序号</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C073C4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镇街（园区）</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69EAF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应用场景</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70166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建议牵头部门</w:t>
            </w:r>
          </w:p>
        </w:tc>
      </w:tr>
      <w:tr w14:paraId="5C228E5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D72BA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15DB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松山湖科学城</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66973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松山湖大科学装置群打造前沿科技场景。发挥中国散裂中子源、先进阿秒激光、南方先进光源等重大科技基础设施集聚优势，围绕前沿科技研发与验证需求，探索打造先进材料验证、药物靶点解析等高端前沿科技场景，实现前沿科技研发验证与迭代应用提速。</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3721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市科技局</w:t>
            </w:r>
          </w:p>
        </w:tc>
      </w:tr>
      <w:tr w14:paraId="23633A7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BD85D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2</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A46FB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松山湖科学城</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C729A7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松山湖国际机器人产业基地打造“机器人+”场景。积极搭建基地内入驻企业与本地制造厂商的对接平台，打造“机器人+3C电子制造”“机器人+智能医疗”“机器人+智慧农业”等场景，打通教育、科技、产业、场景创新融合发展全链条，孵化培育一批优质机器人企业，构建完整的机器人及智能硬件区域科创生态体系。</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01534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市科技局</w:t>
            </w:r>
          </w:p>
        </w:tc>
      </w:tr>
      <w:tr w14:paraId="621987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C3B2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3</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4F54E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滨海湾新区</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3F6A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国家人工智能应用中试基地打造“AI+智能终端”场景。以“芯片—OS—模型—应用”全链条技术为支撑，围绕智能手机、智能穿戴、智能潮玩等智能终端产品研发生产需求，打造“AI+智能终端”融合应用场景，探索面向智能终端领域可落地、可复制、可推广的AI产品解决方案，支撑打造人工智能产业高质量发展新高地。</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9301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市工业和信息化局</w:t>
            </w:r>
          </w:p>
        </w:tc>
      </w:tr>
      <w:tr w14:paraId="0BEA07B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66C00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4</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196E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滨海湾新区</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A8B4A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滨海湾新区打造全域无人驾驶场景。结合城市交通智能化升级与无人驾驶技术测试应用需求，在滨海湾大道、东湾大道、振海路、兴海路、中海路等重点路段，打造无人环卫车、无人乘用车、智能网联巴士、无人配送车、无人巡逻车等场景，实现无人驾驶技术常态化应用与迭代优化，提升城市交通运行效率与安全性。</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E71F2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市工业和信息化局</w:t>
            </w:r>
          </w:p>
        </w:tc>
      </w:tr>
      <w:tr w14:paraId="52D1E2D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E2B0B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5</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FC50D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南城街道</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054F6A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市行政办事中心、市民服务中心打造智慧政务场景。围绕企业和群众高效办事与政务服务数字化升级需求，运用鸿蒙等新技术，打造智能导办、无感通办、跨域联办、智慧审批等智慧政务场景，实现政务服务流程优化、效率提升，全方位赋能政务服务提质增效，增强企业和群众办事的便捷度与获得感。</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4D0C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市政务和数据局</w:t>
            </w:r>
          </w:p>
        </w:tc>
      </w:tr>
      <w:tr w14:paraId="3762BA4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FE6A8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6</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E940B8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南城街道</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96A2B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东莞植物园打造智慧治理场景。结合园区生态保护、安全管控与公共服务体验升级多重需求，打造智慧生态监测、无人机巡查管控、沉浸式生态体验、智能应急处置等场景，实现园区植被养护、病虫害防治、游客管理、安全防控的智能化、精细化，切实提升园区生态保护与服务管理水平，打造新技术赋能园区精细化治理的示范样板。</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C4DF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市城市管理综合执法局</w:t>
            </w:r>
          </w:p>
        </w:tc>
      </w:tr>
      <w:tr w14:paraId="29A7C5C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FCF54C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7</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57525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水乡经济区</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3729B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东莞西站打造“空铁联运”低空场景。全面挖掘和开放低空交通场景资源，打造空中的士接驳、穗莞跨城保税低空物流、低空文旅观光、高端商务低空出行等场景，实现“低空+轨道”无缝衔接、“海陆铁空”多式联运高效协同，推动东莞西站从地面交通枢纽升级为立体超级枢纽。</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D2CB8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市发展改革局</w:t>
            </w:r>
          </w:p>
        </w:tc>
      </w:tr>
      <w:tr w14:paraId="21F1EF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77B31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8</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FDF5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长安镇</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E1C01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长安镇vivo、OPPO等龙头企业打造智能制造场景。结合智能终端产业链协同升级与制造业数字化转型需求，支持vivo、OPPO等龙头企业打造数字孪生工厂、AI驱动工艺优化、工业智能体协同作业、全流程质量追溯、机器视觉检测等场景，实现电子信息产业数字化、智能化转型升级，筑牢全球电子信息产业智造高地。</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7DD24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市工业和信息化局</w:t>
            </w:r>
          </w:p>
        </w:tc>
      </w:tr>
      <w:tr w14:paraId="1174A2A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662D2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9</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76AFAA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石排镇</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FEAD2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石排潮玩产业园打造潮玩主题新消费场景。以潮玩中心、漫博中心等平台为支撑，打造潮玩IP沉浸式体验、潮玩主题街区、AI赋能潮玩设计、潮玩数字文创展销等新消费场景，实现潮玩产业从生产制造向文化消费、IP孵化升级，提升“中国潮玩之都”品牌影响力。</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7C1E11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市委宣传部</w:t>
            </w:r>
          </w:p>
        </w:tc>
      </w:tr>
      <w:tr w14:paraId="0DD447E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24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6A327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10</w:t>
            </w:r>
          </w:p>
        </w:tc>
        <w:tc>
          <w:tcPr>
            <w:tcW w:w="70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99BE5D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虎门镇</w:t>
            </w:r>
          </w:p>
        </w:tc>
        <w:tc>
          <w:tcPr>
            <w:tcW w:w="3224"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C443F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both"/>
              <w:rPr>
                <w:color w:val="424242"/>
                <w:sz w:val="24"/>
                <w:szCs w:val="24"/>
              </w:rPr>
            </w:pPr>
            <w:r>
              <w:rPr>
                <w:rFonts w:hint="default" w:ascii="Times New Roman" w:hAnsi="Times New Roman" w:cs="Times New Roman"/>
                <w:color w:val="424242"/>
                <w:sz w:val="24"/>
                <w:szCs w:val="24"/>
                <w:bdr w:val="none" w:color="auto" w:sz="0" w:space="0"/>
              </w:rPr>
              <w:t>依托虎门衣流时尚产业园打造智慧时尚场景。围绕纺织服装产业转型升级与时尚产业生态构建需求，打造AI赋能服装设计、3D虚拟打版与试衣、智能柔性缝制与“小单快返”生产、印染车间智能排产、供应链协同运营、全生命周期质量追溯、数字时尚展销体验等场景，推动传统服装产业从规模化制造向个性化定制、智能化生产升级。</w:t>
            </w:r>
          </w:p>
        </w:tc>
        <w:tc>
          <w:tcPr>
            <w:tcW w:w="83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65222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color w:val="424242"/>
                <w:sz w:val="24"/>
                <w:szCs w:val="24"/>
              </w:rPr>
            </w:pPr>
            <w:r>
              <w:rPr>
                <w:rFonts w:hint="default" w:ascii="Times New Roman" w:hAnsi="Times New Roman" w:cs="Times New Roman"/>
                <w:color w:val="424242"/>
                <w:sz w:val="24"/>
                <w:szCs w:val="24"/>
                <w:bdr w:val="none" w:color="auto" w:sz="0" w:space="0"/>
              </w:rPr>
              <w:t>市商务局</w:t>
            </w:r>
          </w:p>
        </w:tc>
      </w:tr>
    </w:tbl>
    <w:p w14:paraId="7204C3E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50" w:beforeAutospacing="0" w:after="150" w:afterAutospacing="0" w:line="30" w:lineRule="atLeast"/>
        <w:ind w:left="0" w:right="0"/>
        <w:jc w:val="both"/>
        <w:rPr>
          <w:color w:val="424242"/>
          <w:sz w:val="24"/>
          <w:szCs w:val="24"/>
        </w:rPr>
      </w:pPr>
    </w:p>
    <w:p w14:paraId="69853C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msic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ocialshar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9A7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2026-04-27T02:46:27Z</dcterms:created>
  <dc:creator>Administrator</dc:creator>
  <cp:lastModifiedBy>晓琪</cp:lastModifiedBy>
  <dcterms:modified xsi:type="dcterms:W3CDTF">2026-04-27T02:48:12Z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eyJoZGlkIjoiNDhlMGMwNWFmZDIwMjczMmNjMjdkZjgwNGJhYzRjY2MiLCJ1c2VySWQiOiI3MTU4NTUzODYifQ==</vt:lpwstr>
  </property>
  <property fmtid="{D5CDD505-2E9C-101B-9397-08002B2CF9AE}" pid="4" name="ICV">
    <vt:lpwstr>5E5894BD83424973989DD61006C4ECBE_12</vt:lpwstr>
  </property>
</Properties>
</file>