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92E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both"/>
        <w:rPr>
          <w:rFonts w:ascii="PingFang SC" w:hAnsi="PingFang SC" w:eastAsia="PingFang SC" w:cs="PingFang SC"/>
          <w:b/>
          <w:bCs/>
          <w:i w:val="0"/>
          <w:iCs w:val="0"/>
          <w:caps w:val="0"/>
          <w:color w:val="212121"/>
          <w:spacing w:val="0"/>
          <w:sz w:val="45"/>
          <w:szCs w:val="45"/>
        </w:rPr>
      </w:pPr>
      <w:r>
        <w:rPr>
          <w:rFonts w:hint="default" w:ascii="PingFang SC" w:hAnsi="PingFang SC" w:eastAsia="PingFang SC" w:cs="PingFang SC"/>
          <w:b/>
          <w:bCs/>
          <w:i w:val="0"/>
          <w:iCs w:val="0"/>
          <w:caps w:val="0"/>
          <w:color w:val="212121"/>
          <w:spacing w:val="0"/>
          <w:kern w:val="0"/>
          <w:sz w:val="45"/>
          <w:szCs w:val="45"/>
          <w:bdr w:val="none" w:color="auto" w:sz="0" w:space="0"/>
          <w:shd w:val="clear" w:fill="FFFFFF"/>
          <w:lang w:val="en-US" w:eastAsia="zh-CN" w:bidi="ar"/>
        </w:rPr>
        <w:t>聚焦市委全会｜东莞加快推动科技创新和产业创新深度融合 培育壮大新质生产力</w:t>
      </w:r>
    </w:p>
    <w:p w14:paraId="20D9E3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25" w:right="-225" w:firstLine="0"/>
        <w:jc w:val="left"/>
        <w:rPr>
          <w:rFonts w:ascii="SourceHanSerif" w:hAnsi="SourceHanSerif" w:eastAsia="SourceHanSerif" w:cs="SourceHanSerif"/>
          <w:i w:val="0"/>
          <w:iCs w:val="0"/>
          <w:caps w:val="0"/>
          <w:color w:val="212529"/>
          <w:spacing w:val="0"/>
          <w:sz w:val="28"/>
          <w:szCs w:val="28"/>
        </w:rPr>
      </w:pPr>
      <w:r>
        <w:rPr>
          <w:rFonts w:hint="default" w:ascii="PingFang SC" w:hAnsi="PingFang SC" w:eastAsia="PingFang SC" w:cs="PingFang SC"/>
          <w:i w:val="0"/>
          <w:iCs w:val="0"/>
          <w:caps w:val="0"/>
          <w:color w:val="949494"/>
          <w:spacing w:val="0"/>
          <w:kern w:val="0"/>
          <w:sz w:val="21"/>
          <w:szCs w:val="21"/>
          <w:bdr w:val="none" w:color="auto" w:sz="0" w:space="0"/>
          <w:shd w:val="clear" w:fill="FFFFFF"/>
          <w:lang w:val="en-US" w:eastAsia="zh-CN" w:bidi="ar"/>
        </w:rPr>
        <w:t>东莞+2025-12-15 22:22:49</w:t>
      </w:r>
    </w:p>
    <w:p w14:paraId="02D87E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党的二十大以来，习近平总书记多次强调“科技创新是引领发展的第一动力”，并明确提出要“扎实推动科技创新和产业创新深度融合，助力发展新质生产力”。省委十三届七次全会明确要求东莞挑大梁，强调要“全面推动产业科技互促双强，在催生新质生产力上实现更大突破”。</w:t>
      </w:r>
    </w:p>
    <w:p w14:paraId="6C76E9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站在“十四五”成就之上迈向“十五五”新征程，东莞市委十五届十次全会报告（下称“报告”）提出，要深入贯彻落实总书记重要指示精神和党中央、省委决策部署，着眼发展新质生产力，落实深度融合新要求，全面提升创新体系整体效能，强化产业需求牵引和科技成果转化，加快打造创新驱动、品牌引领的现代化产业体系，为高质量发展注入强劲动能。</w:t>
      </w:r>
    </w:p>
    <w:p w14:paraId="662E71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东莞如何推动科技创新和产业创新深度融合，加快培育壮大新质生产力？报告提出五大具体方向：要加快完善全过程创新体系，要建设具有国际竞争力的现代化产业体系，要深入推进品牌强市、质量强市建设，要加快现代服务业发展壮大，要深入推进人才强市建设。</w:t>
      </w:r>
    </w:p>
    <w:p w14:paraId="05FCE0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Style w:val="5"/>
          <w:rFonts w:hint="default" w:ascii="PingFang SC" w:hAnsi="PingFang SC" w:eastAsia="PingFang SC" w:cs="PingFang SC"/>
          <w:b/>
          <w:bCs/>
          <w:i w:val="0"/>
          <w:iCs w:val="0"/>
          <w:caps w:val="0"/>
          <w:color w:val="3366FF"/>
          <w:spacing w:val="0"/>
          <w:sz w:val="24"/>
          <w:szCs w:val="24"/>
          <w:bdr w:val="none" w:color="auto" w:sz="0" w:space="0"/>
          <w:shd w:val="clear" w:fill="FFFFFF"/>
        </w:rPr>
        <w:t>加快完善全过程创新体系，持续提升经济发展的科技含量</w:t>
      </w:r>
    </w:p>
    <w:p w14:paraId="3C74AD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报告提出，要加快完善全过程创新体系。坚持“有组织科研”和“有组织科技成果转化”两大导向，进一步完善基础研究、技术攻关、成果产业化的全过程创新体系，持续提升经济发展的科技含量。</w:t>
      </w:r>
    </w:p>
    <w:p w14:paraId="6D9040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市科技局有关负责人表示，高质量的科技供给始终是科技创新与产业创新深度融合的前提和基础。推动技术进步、赋能产业升级转型，实现高水平的科技自立自强是关键环节。东莞将以建设松山湖科学城为主抓手，提升源头创新和基础研究能力，建好用好中科院东莞材料所、散裂中子源、先进阿秒激光等高水平科研力量，深度参与国家重大科技专项，谋划与港澳高校开展跨境科技创新合作，争取更多重磅科研项目落户东莞。据了解，依托散裂中子源、先进阿秒激光等国家重大科技基础设施，松山湖科学城已集聚新型研发机构30余家、省级以上重点实验室60余个，成为大湾区原始创新的重要策源地。</w:t>
      </w:r>
    </w:p>
    <w:p w14:paraId="3CAE6C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中国科学院东莞材料科学与技术研究所所长汪卫华院士表示，东莞材料所将面向材料科学前沿，面向大湾区、东莞新材料产业布局，通过引入数据驱动、人工智能赋能的新范式，强化中国科学院国家战略科技力量主力军的使命担当，努力抢占材料科学和产业的制高点，着力推进科技创新和产业深度融合，致力于成为大湾区创新策源地，材料新技术的辐射源，高端材料科技人才高地，助力东莞传统产业升级，为东莞科技创新和人才强市战略提供支撑。</w:t>
      </w:r>
    </w:p>
    <w:p w14:paraId="4C7661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科技成果转化作为科技创新与产业创新深度融合的直接路径，东莞加快完善概念验证、中试验证、技术交易等服务链条，做好项目“转孵投”一体化服务，持续强化企业创新主体地位，支持龙头企业牵头组建创新联合体，面向经济主战场开展关键技术联合攻关。截至目前，已组建新能源、新一代通信、未来食品、工业母机与模具、人工智能等多领域的创新联合体。</w:t>
      </w:r>
    </w:p>
    <w:p w14:paraId="0556C9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市科技局表示，未来，东莞将充分发挥科技成果转化专班作用，推动关键技术与本地产业需求精准对接。同时持续优化科技投融资环境，完善服务体系，让优秀的科技成果在东莞“引得进、孵得出、转得成、留得住”。</w:t>
      </w:r>
    </w:p>
    <w:p w14:paraId="715F47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Style w:val="5"/>
          <w:rFonts w:hint="default" w:ascii="PingFang SC" w:hAnsi="PingFang SC" w:eastAsia="PingFang SC" w:cs="PingFang SC"/>
          <w:b/>
          <w:bCs/>
          <w:i w:val="0"/>
          <w:iCs w:val="0"/>
          <w:caps w:val="0"/>
          <w:color w:val="3366FF"/>
          <w:spacing w:val="0"/>
          <w:sz w:val="24"/>
          <w:szCs w:val="24"/>
          <w:bdr w:val="none" w:color="auto" w:sz="0" w:space="0"/>
          <w:shd w:val="clear" w:fill="FFFFFF"/>
        </w:rPr>
        <w:t>建设具有国际竞争力的现代化产业体系</w:t>
      </w:r>
    </w:p>
    <w:p w14:paraId="4FBA06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作为制造业强市，目前，东莞全市规上工业总产值突破2.5万亿元，4个产业集群入选国家先进制造业集群，国家级高新技术企业突破1万家，264家专精特新“小巨人”企业在此聚集。产业转型升级取得新成效，新质生产力不断培育壮大。</w:t>
      </w:r>
    </w:p>
    <w:p w14:paraId="6D5C75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报告提出，坚持实体经济为本、制造业当家，聚焦“8+8+4”重点产业体系，统筹推动传统产业升级、新兴产业壮大、未来产业布局。要深入实施“人工智能+”行动，抢抓技术集中爆发、政策密集出台机遇，依托滨海湾新区建设人工智能领域全国应用赋能示范区，高质量建设国家人工智能应用中试基地，集中优势资源打好攻坚战，全面强化算力、算法、数据共性服务供给，加大自动驾驶、智能工厂、AI终端等应用场景开放，尽快形成规模效应，打造具有全球竞争力的人工智能和机器人产业集群。</w:t>
      </w:r>
    </w:p>
    <w:p w14:paraId="79E984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目前，华为终端、OPPO、vivo等智能终端企业扎根东莞，带动上下游超千家配套企业，形成万亿级电子信息产业集群。在新兴赛道上，东莞加快打造半导体及集成电路、新材料、新能源、生物医药、低空经济等新增长极。宁德时代、赣锋锂业、比亚迪等龙头企业加速布局，预计到今年年底，以新型储能产业为代表的新能源产业集群将率先突破1000亿元规模。此外，东莞还深化国家制造业新型技术改造城市试点建设，扎实推进“智改数转”，推广工业互联网，大力发展定制生产、柔性制造等服务型制造新模式。</w:t>
      </w:r>
    </w:p>
    <w:p w14:paraId="2BD72F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今年，省工信厅印发专门政策，支持滨海湾新区打造人工智能领域的广东创新发展试验区、全国应用赋能示范区、具有全球影响力和竞争力的世界级智能终端产业集聚区。</w:t>
      </w:r>
    </w:p>
    <w:p w14:paraId="4530A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东莞市社科院经济研究中心副主任张志民表示：“要充分发挥国家人工智能应用中试基地作用，推动‘人工智能+’成为制造业升级的普遍形态。”</w:t>
      </w:r>
    </w:p>
    <w:p w14:paraId="654370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对此，市工信局表示，将加速人工智能布局，赋能制造业升级，重点推进国家人工智能应用中试基地（消费领域移动终端方向）建设，聚焦“AI+智能终端”与“AI+智能制造”两大方向，构建算力、数据、模型、工具链、安全五大能力基座，打造“场景需求—应用开发—中试验证—优化迭代—规模应用”的全流程闭环，推动人工智能在制造业规模化落地。</w:t>
      </w:r>
    </w:p>
    <w:p w14:paraId="2842EF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Style w:val="5"/>
          <w:rFonts w:hint="default" w:ascii="PingFang SC" w:hAnsi="PingFang SC" w:eastAsia="PingFang SC" w:cs="PingFang SC"/>
          <w:b/>
          <w:bCs/>
          <w:i w:val="0"/>
          <w:iCs w:val="0"/>
          <w:caps w:val="0"/>
          <w:color w:val="3366FF"/>
          <w:spacing w:val="0"/>
          <w:sz w:val="24"/>
          <w:szCs w:val="24"/>
          <w:bdr w:val="none" w:color="auto" w:sz="0" w:space="0"/>
          <w:shd w:val="clear" w:fill="FFFFFF"/>
        </w:rPr>
        <w:t>加快打造一批“东莞优品”，以品牌效应带动产业升级</w:t>
      </w:r>
    </w:p>
    <w:p w14:paraId="4918C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市委全会召开当日，2025年“东莞优品”新品发布会举行，82家企业100个产品获评2025年度“东莞优品”，涵盖食品、服装、家具、潮玩、智能终端、家电、调味品、蔬果等26类消费品。2024年以来，已有210个产品通过评定成为“东莞优品”，涵盖食品、服装鞋饰、家具、玩具及婴童用品、电子信息产品等30类东莞优势特色消费品。</w:t>
      </w:r>
    </w:p>
    <w:p w14:paraId="06C9EE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报告提出，以“制造美学之城”为统领，进一步完善政策体系、搭建服务平台，补齐标准建设、营销渠道、推广宣传等短板，加快打造一批“东莞优品”，以强大的品牌效应带动产业升级。要培育领军品牌，支持引导智能终端、服装家具、食品饮料等重点领域龙头企业打响自有品牌，搭建国内国际品牌营销网络，推动企业加快向世界一流品牌进军。</w:t>
      </w:r>
    </w:p>
    <w:p w14:paraId="2C57B2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市市场监督管理局表示，将推进“质量三强一基”建设，大力培育各级政府质量奖，助力擦亮“东莞制造”金字招牌；围绕“制造美学之城”建设，全力打造“东莞优品”，进一步完善政策体系和服务平台，支撑品牌强市建设；借助建设国家级知识产权保护中心的契机，完善知识产权创造、运用、保护和服务全链条生态，为东莞企业提升“知产”赋能；积极打造一流营商环境、消费环境和竞争环境，为东莞近200万经营主体提供更加公平有序的市场环境。</w:t>
      </w:r>
    </w:p>
    <w:p w14:paraId="572E8D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572" w:afterAutospacing="0" w:line="368" w:lineRule="atLeast"/>
        <w:ind w:left="0" w:right="0"/>
        <w:jc w:val="both"/>
      </w:pPr>
      <w:r>
        <w:rPr>
          <w:rFonts w:hint="default" w:ascii="PingFang SC" w:hAnsi="PingFang SC" w:eastAsia="PingFang SC" w:cs="PingFang SC"/>
          <w:i w:val="0"/>
          <w:iCs w:val="0"/>
          <w:caps w:val="0"/>
          <w:color w:val="212121"/>
          <w:spacing w:val="0"/>
          <w:sz w:val="24"/>
          <w:szCs w:val="24"/>
          <w:bdr w:val="none" w:color="auto" w:sz="0" w:space="0"/>
          <w:shd w:val="clear" w:fill="FFFFFF"/>
        </w:rPr>
        <w:t>此外，报告还提出，要加快现代服务业发展壮大。聚焦产业转型升级和人民美好生活需要，深入实施服务业扩能提质行动，不断提高制造业与生产性服务业深度融合发展水平。要推动金融产业高质量发展，大力发展科技金融、绿色金融、普惠金融、数字金融，推动松山湖科技金融小镇等平台提质增效，支持以“国企引导+社会参与”合作模式促进耐心资本发展壮大，健全东莞产投创投基金体系，持续深化与头部金融机构合作，推动资本市场“东莞板块”扩容提质，大力提升金融产业实力和服务实体经济能力。要加快打造鸿蒙生态城市，催生更多鸿蒙软件在莞首试首用，以鸿蒙生态带动软信服务业实现跨越式发展。要加快建设一批特色服务业集聚区，积极发展技术经纪人等科技服务、人力资源服务新业态，深入推进国家数据产业集聚区试点建设，支持现代物流业发展壮大，促进生活服务业高品质、多样化、便利化发展，推动各类专业服务业做大规模、做优质量、做出特色。</w:t>
      </w:r>
    </w:p>
    <w:p w14:paraId="406A700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ourceHan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4A4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2025-12-23T02:20:56Z</dcterms:created>
  <dc:creator>Administrator</dc:creator>
  <cp:lastModifiedBy>晓琪</cp:lastModifiedBy>
  <dcterms:modified xsi:type="dcterms:W3CDTF">2025-12-23T02:21:12Z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eyJoZGlkIjoiNDhlMGMwNWFmZDIwMjczMmNjMjdkZjgwNGJhYzRjY2MiLCJ1c2VySWQiOiI3MTU4NTUzODYifQ==</vt:lpwstr>
  </property>
  <property fmtid="{D5CDD505-2E9C-101B-9397-08002B2CF9AE}" pid="4" name="ICV">
    <vt:lpwstr>7E5A8C1D938847789A55312F08C94DB6_12</vt:lpwstr>
  </property>
</Properties>
</file>