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806D1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rPr>
          <w:color w:val="1E7BE2"/>
          <w:sz w:val="36"/>
          <w:szCs w:val="36"/>
        </w:rPr>
      </w:pPr>
      <w:r>
        <w:rPr>
          <w:rFonts w:ascii="宋体" w:hAnsi="宋体" w:eastAsia="宋体" w:cs="宋体"/>
          <w:color w:val="1E7BE2"/>
          <w:kern w:val="0"/>
          <w:sz w:val="36"/>
          <w:szCs w:val="36"/>
          <w:bdr w:val="none" w:color="auto" w:sz="0" w:space="0"/>
          <w:lang w:val="en-US" w:eastAsia="zh-CN" w:bidi="ar"/>
        </w:rPr>
        <w:t>《东莞市推动工业母机产业高质量发展若干措》政策解读</w:t>
      </w:r>
    </w:p>
    <w:p w14:paraId="618E130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750" w:lineRule="atLeast"/>
        <w:ind w:left="0" w:right="0"/>
        <w:jc w:val="center"/>
        <w:rPr>
          <w:color w:val="757575"/>
          <w:sz w:val="21"/>
          <w:szCs w:val="21"/>
        </w:rPr>
      </w:pPr>
      <w:r>
        <w:rPr>
          <w:rFonts w:ascii="宋体" w:hAnsi="宋体" w:eastAsia="宋体" w:cs="宋体"/>
          <w:color w:val="757575"/>
          <w:kern w:val="0"/>
          <w:sz w:val="21"/>
          <w:szCs w:val="21"/>
          <w:bdr w:val="none" w:color="auto" w:sz="0" w:space="0"/>
          <w:lang w:val="en-US" w:eastAsia="zh-CN" w:bidi="ar"/>
        </w:rPr>
        <w:t>来源： 本网    2024-06-27 14:33:00    字体： </w:t>
      </w:r>
      <w:r>
        <w:rPr>
          <w:rFonts w:ascii="宋体" w:hAnsi="宋体" w:eastAsia="宋体" w:cs="宋体"/>
          <w:color w:val="999999"/>
          <w:kern w:val="0"/>
          <w:sz w:val="21"/>
          <w:szCs w:val="21"/>
          <w:u w:val="single"/>
          <w:bdr w:val="none" w:color="auto" w:sz="0" w:space="0"/>
          <w:lang w:val="en-US" w:eastAsia="zh-CN" w:bidi="ar"/>
        </w:rPr>
        <w:fldChar w:fldCharType="begin"/>
      </w:r>
      <w:r>
        <w:rPr>
          <w:rFonts w:ascii="宋体" w:hAnsi="宋体" w:eastAsia="宋体" w:cs="宋体"/>
          <w:color w:val="999999"/>
          <w:kern w:val="0"/>
          <w:sz w:val="21"/>
          <w:szCs w:val="21"/>
          <w:u w:val="single"/>
          <w:bdr w:val="none" w:color="auto" w:sz="0" w:space="0"/>
          <w:lang w:val="en-US" w:eastAsia="zh-CN" w:bidi="ar"/>
        </w:rPr>
        <w:instrText xml:space="preserve"> HYPERLINK "https://im.dg.gov.cn/zwgk/zfxxgkml/zcwj/zcjd/content/post_4226749.html" </w:instrText>
      </w:r>
      <w:r>
        <w:rPr>
          <w:rFonts w:ascii="宋体" w:hAnsi="宋体" w:eastAsia="宋体" w:cs="宋体"/>
          <w:color w:val="999999"/>
          <w:kern w:val="0"/>
          <w:sz w:val="21"/>
          <w:szCs w:val="21"/>
          <w:u w:val="single"/>
          <w:bdr w:val="none" w:color="auto" w:sz="0" w:space="0"/>
          <w:lang w:val="en-US" w:eastAsia="zh-CN" w:bidi="ar"/>
        </w:rPr>
        <w:fldChar w:fldCharType="separate"/>
      </w:r>
      <w:r>
        <w:rPr>
          <w:rStyle w:val="5"/>
          <w:rFonts w:ascii="宋体" w:hAnsi="宋体" w:eastAsia="宋体" w:cs="宋体"/>
          <w:color w:val="999999"/>
          <w:sz w:val="21"/>
          <w:szCs w:val="21"/>
          <w:u w:val="single"/>
          <w:bdr w:val="none" w:color="auto" w:sz="0" w:space="0"/>
        </w:rPr>
        <w:t>大</w:t>
      </w:r>
      <w:r>
        <w:rPr>
          <w:rFonts w:ascii="宋体" w:hAnsi="宋体" w:eastAsia="宋体" w:cs="宋体"/>
          <w:color w:val="999999"/>
          <w:kern w:val="0"/>
          <w:sz w:val="21"/>
          <w:szCs w:val="21"/>
          <w:u w:val="single"/>
          <w:bdr w:val="none" w:color="auto" w:sz="0" w:space="0"/>
          <w:lang w:val="en-US" w:eastAsia="zh-CN" w:bidi="ar"/>
        </w:rPr>
        <w:fldChar w:fldCharType="end"/>
      </w:r>
      <w:r>
        <w:rPr>
          <w:rFonts w:ascii="宋体" w:hAnsi="宋体" w:eastAsia="宋体" w:cs="宋体"/>
          <w:color w:val="757575"/>
          <w:kern w:val="0"/>
          <w:sz w:val="21"/>
          <w:szCs w:val="21"/>
          <w:bdr w:val="none" w:color="auto" w:sz="0" w:space="0"/>
          <w:lang w:val="en-US" w:eastAsia="zh-CN" w:bidi="ar"/>
        </w:rPr>
        <w:t> </w:t>
      </w:r>
      <w:r>
        <w:rPr>
          <w:rFonts w:ascii="宋体" w:hAnsi="宋体" w:eastAsia="宋体" w:cs="宋体"/>
          <w:color w:val="999999"/>
          <w:kern w:val="0"/>
          <w:sz w:val="21"/>
          <w:szCs w:val="21"/>
          <w:u w:val="none"/>
          <w:bdr w:val="none" w:color="auto" w:sz="0" w:space="0"/>
          <w:lang w:val="en-US" w:eastAsia="zh-CN" w:bidi="ar"/>
        </w:rPr>
        <w:fldChar w:fldCharType="begin"/>
      </w:r>
      <w:r>
        <w:rPr>
          <w:rFonts w:ascii="宋体" w:hAnsi="宋体" w:eastAsia="宋体" w:cs="宋体"/>
          <w:color w:val="999999"/>
          <w:kern w:val="0"/>
          <w:sz w:val="21"/>
          <w:szCs w:val="21"/>
          <w:u w:val="none"/>
          <w:bdr w:val="none" w:color="auto" w:sz="0" w:space="0"/>
          <w:lang w:val="en-US" w:eastAsia="zh-CN" w:bidi="ar"/>
        </w:rPr>
        <w:instrText xml:space="preserve"> HYPERLINK "https://im.dg.gov.cn/zwgk/zfxxgkml/zcwj/zcjd/content/post_4226749.html" </w:instrText>
      </w:r>
      <w:r>
        <w:rPr>
          <w:rFonts w:ascii="宋体" w:hAnsi="宋体" w:eastAsia="宋体" w:cs="宋体"/>
          <w:color w:val="999999"/>
          <w:kern w:val="0"/>
          <w:sz w:val="21"/>
          <w:szCs w:val="21"/>
          <w:u w:val="none"/>
          <w:bdr w:val="none" w:color="auto" w:sz="0" w:space="0"/>
          <w:lang w:val="en-US" w:eastAsia="zh-CN" w:bidi="ar"/>
        </w:rPr>
        <w:fldChar w:fldCharType="separate"/>
      </w:r>
      <w:r>
        <w:rPr>
          <w:rStyle w:val="5"/>
          <w:rFonts w:ascii="宋体" w:hAnsi="宋体" w:eastAsia="宋体" w:cs="宋体"/>
          <w:color w:val="999999"/>
          <w:sz w:val="21"/>
          <w:szCs w:val="21"/>
          <w:u w:val="none"/>
          <w:bdr w:val="none" w:color="auto" w:sz="0" w:space="0"/>
        </w:rPr>
        <w:t>中</w:t>
      </w:r>
      <w:r>
        <w:rPr>
          <w:rFonts w:ascii="宋体" w:hAnsi="宋体" w:eastAsia="宋体" w:cs="宋体"/>
          <w:color w:val="999999"/>
          <w:kern w:val="0"/>
          <w:sz w:val="21"/>
          <w:szCs w:val="21"/>
          <w:u w:val="none"/>
          <w:bdr w:val="none" w:color="auto" w:sz="0" w:space="0"/>
          <w:lang w:val="en-US" w:eastAsia="zh-CN" w:bidi="ar"/>
        </w:rPr>
        <w:fldChar w:fldCharType="end"/>
      </w:r>
      <w:r>
        <w:rPr>
          <w:rFonts w:ascii="宋体" w:hAnsi="宋体" w:eastAsia="宋体" w:cs="宋体"/>
          <w:color w:val="757575"/>
          <w:kern w:val="0"/>
          <w:sz w:val="21"/>
          <w:szCs w:val="21"/>
          <w:bdr w:val="none" w:color="auto" w:sz="0" w:space="0"/>
          <w:lang w:val="en-US" w:eastAsia="zh-CN" w:bidi="ar"/>
        </w:rPr>
        <w:t> </w:t>
      </w:r>
      <w:r>
        <w:rPr>
          <w:rFonts w:ascii="宋体" w:hAnsi="宋体" w:eastAsia="宋体" w:cs="宋体"/>
          <w:color w:val="999999"/>
          <w:kern w:val="0"/>
          <w:sz w:val="21"/>
          <w:szCs w:val="21"/>
          <w:u w:val="none"/>
          <w:bdr w:val="none" w:color="auto" w:sz="0" w:space="0"/>
          <w:lang w:val="en-US" w:eastAsia="zh-CN" w:bidi="ar"/>
        </w:rPr>
        <w:fldChar w:fldCharType="begin"/>
      </w:r>
      <w:r>
        <w:rPr>
          <w:rFonts w:ascii="宋体" w:hAnsi="宋体" w:eastAsia="宋体" w:cs="宋体"/>
          <w:color w:val="999999"/>
          <w:kern w:val="0"/>
          <w:sz w:val="21"/>
          <w:szCs w:val="21"/>
          <w:u w:val="none"/>
          <w:bdr w:val="none" w:color="auto" w:sz="0" w:space="0"/>
          <w:lang w:val="en-US" w:eastAsia="zh-CN" w:bidi="ar"/>
        </w:rPr>
        <w:instrText xml:space="preserve"> HYPERLINK "https://im.dg.gov.cn/zwgk/zfxxgkml/zcwj/zcjd/content/post_4226749.html" </w:instrText>
      </w:r>
      <w:r>
        <w:rPr>
          <w:rFonts w:ascii="宋体" w:hAnsi="宋体" w:eastAsia="宋体" w:cs="宋体"/>
          <w:color w:val="999999"/>
          <w:kern w:val="0"/>
          <w:sz w:val="21"/>
          <w:szCs w:val="21"/>
          <w:u w:val="none"/>
          <w:bdr w:val="none" w:color="auto" w:sz="0" w:space="0"/>
          <w:lang w:val="en-US" w:eastAsia="zh-CN" w:bidi="ar"/>
        </w:rPr>
        <w:fldChar w:fldCharType="separate"/>
      </w:r>
      <w:r>
        <w:rPr>
          <w:rStyle w:val="5"/>
          <w:rFonts w:ascii="宋体" w:hAnsi="宋体" w:eastAsia="宋体" w:cs="宋体"/>
          <w:color w:val="999999"/>
          <w:sz w:val="21"/>
          <w:szCs w:val="21"/>
          <w:u w:val="none"/>
          <w:bdr w:val="none" w:color="auto" w:sz="0" w:space="0"/>
        </w:rPr>
        <w:t>小</w:t>
      </w:r>
      <w:r>
        <w:rPr>
          <w:rFonts w:ascii="宋体" w:hAnsi="宋体" w:eastAsia="宋体" w:cs="宋体"/>
          <w:color w:val="999999"/>
          <w:kern w:val="0"/>
          <w:sz w:val="21"/>
          <w:szCs w:val="21"/>
          <w:u w:val="none"/>
          <w:bdr w:val="none" w:color="auto" w:sz="0" w:space="0"/>
          <w:lang w:val="en-US" w:eastAsia="zh-CN" w:bidi="ar"/>
        </w:rPr>
        <w:fldChar w:fldCharType="end"/>
      </w:r>
    </w:p>
    <w:p w14:paraId="4A461A6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jc w:val="left"/>
      </w:pPr>
      <w:r>
        <w:rPr>
          <w:bdr w:val="none" w:color="auto" w:sz="0" w:space="0"/>
        </w:rPr>
        <w:t>       </w:t>
      </w:r>
    </w:p>
    <w:p w14:paraId="2EAC8E4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jc w:val="left"/>
      </w:pPr>
      <w:r>
        <w:rPr>
          <w:bdr w:val="none" w:color="auto" w:sz="0" w:space="0"/>
        </w:rPr>
        <w:t>政策原文：</w:t>
      </w:r>
      <w:r>
        <w:rPr>
          <w:color w:val="999999"/>
          <w:u w:val="none"/>
          <w:bdr w:val="none" w:color="auto" w:sz="0" w:space="0"/>
        </w:rPr>
        <w:fldChar w:fldCharType="begin"/>
      </w:r>
      <w:r>
        <w:rPr>
          <w:color w:val="999999"/>
          <w:u w:val="none"/>
          <w:bdr w:val="none" w:color="auto" w:sz="0" w:space="0"/>
        </w:rPr>
        <w:instrText xml:space="preserve"> HYPERLINK "https://im.dg.gov.cn/zwgk/zfxxgkml/ghjh/zxgh/content/post_4225986.html" \t "https://im.dg.gov.cn/zwgk/zfxxgkml/zcwj/zcjd/content/_self" </w:instrText>
      </w:r>
      <w:r>
        <w:rPr>
          <w:color w:val="999999"/>
          <w:u w:val="none"/>
          <w:bdr w:val="none" w:color="auto" w:sz="0" w:space="0"/>
        </w:rPr>
        <w:fldChar w:fldCharType="separate"/>
      </w:r>
      <w:r>
        <w:rPr>
          <w:rStyle w:val="5"/>
          <w:color w:val="999999"/>
          <w:u w:val="none"/>
          <w:bdr w:val="none" w:color="auto" w:sz="0" w:space="0"/>
        </w:rPr>
        <w:t>关于印发《东莞市推动工业母机产业高质量发展若干措施》的通知</w:t>
      </w:r>
      <w:r>
        <w:rPr>
          <w:color w:val="999999"/>
          <w:u w:val="none"/>
          <w:bdr w:val="none" w:color="auto" w:sz="0" w:space="0"/>
        </w:rPr>
        <w:fldChar w:fldCharType="end"/>
      </w:r>
    </w:p>
    <w:p w14:paraId="41A315C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jc w:val="left"/>
      </w:pPr>
    </w:p>
    <w:p w14:paraId="471EBE6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jc w:val="left"/>
      </w:pPr>
      <w:r>
        <w:rPr>
          <w:bdr w:val="none" w:color="auto" w:sz="0" w:space="0"/>
        </w:rPr>
        <w:t>为进一步提升基础制造能力，全力推动东莞市工业母机产业高质量发展，经市人民政府同意，正式印发《东莞市推动工业母机产业高质量发展若干措》（东工信〔2024〕178号，以下简称《若干措施》）。为便于准确理解和把握政策，现将文件解读如下：</w:t>
      </w:r>
    </w:p>
    <w:p w14:paraId="6DD8B67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jc w:val="left"/>
      </w:pPr>
      <w:r>
        <w:rPr>
          <w:bdr w:val="none" w:color="auto" w:sz="0" w:space="0"/>
        </w:rPr>
        <w:t>       一、政策背景</w:t>
      </w:r>
    </w:p>
    <w:p w14:paraId="3D8B6C0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jc w:val="left"/>
      </w:pPr>
      <w:r>
        <w:rPr>
          <w:bdr w:val="none" w:color="auto" w:sz="0" w:space="0"/>
        </w:rPr>
        <w:t>       工业母机包括金属切削机床等减材制造装备，铸造、锻压、焊接、热处理及表面处理等等材制造装备，3D打印等增材制造装备，是工业现代化的基石。工业母机的发展水平代表着国家工业发达程度，更决定着未来智能制造的上限，工业母机已成为当今世界科技竞争的关键领域，成为“兵家必争”之地。</w:t>
      </w:r>
    </w:p>
    <w:p w14:paraId="4001ACA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jc w:val="left"/>
      </w:pPr>
      <w:r>
        <w:rPr>
          <w:bdr w:val="none" w:color="auto" w:sz="0" w:space="0"/>
        </w:rPr>
        <w:t>        2023年全省出台工业母机与基础制造装备产业“强基工程”实施方案，对东莞寄予了厚望，明确提出以广州、深圳、佛山、东莞为核心，建设国内领先的工业母机产业创新、研发和生产集聚地。2024年4月，省不仅将工业母机行业纳入大规模设备更新系列方案中，还专门出台“推进工业设备更新和技术改造提质增效20条”，并将推动工业母机行业加快落后低效设备替代放到了重点行业设备更新方向的首位。</w:t>
      </w:r>
      <w:bookmarkStart w:id="0" w:name="_GoBack"/>
      <w:bookmarkEnd w:id="0"/>
    </w:p>
    <w:p w14:paraId="301EB06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jc w:val="left"/>
      </w:pPr>
      <w:r>
        <w:rPr>
          <w:bdr w:val="none" w:color="auto" w:sz="0" w:space="0"/>
        </w:rPr>
        <w:t>       我市工业母机产业具有良好的产业基础，成立了东莞市机械行业协会、东莞市数控装备行业协会等社会组织，培育了一批具有一定实力的优秀企业。《若干措施》的制定出台，将更好地贯彻落实国家、省相关工作部署，有力促进产业资源整合，推动产业高质量发展。</w:t>
      </w:r>
    </w:p>
    <w:p w14:paraId="2ED4D7B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jc w:val="left"/>
      </w:pPr>
      <w:r>
        <w:rPr>
          <w:bdr w:val="none" w:color="auto" w:sz="0" w:space="0"/>
        </w:rPr>
        <w:t>       二、主要内容</w:t>
      </w:r>
    </w:p>
    <w:p w14:paraId="47A3EEF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jc w:val="left"/>
      </w:pPr>
      <w:r>
        <w:rPr>
          <w:bdr w:val="none" w:color="auto" w:sz="0" w:space="0"/>
        </w:rPr>
        <w:t>      《若干措施》共6大方面20条，主要包括：</w:t>
      </w:r>
    </w:p>
    <w:p w14:paraId="26F6CFC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jc w:val="left"/>
      </w:pPr>
      <w:r>
        <w:rPr>
          <w:bdr w:val="none" w:color="auto" w:sz="0" w:space="0"/>
        </w:rPr>
        <w:t>      （一）支持产业集聚发展</w:t>
      </w:r>
    </w:p>
    <w:p w14:paraId="72256A6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jc w:val="left"/>
      </w:pPr>
      <w:r>
        <w:rPr>
          <w:bdr w:val="none" w:color="auto" w:sz="0" w:space="0"/>
        </w:rPr>
        <w:t>       提出4条措施。一是主题产业园区建设，提供低成本产业空间；二是龙头企业投资落户，采取“一企一策”方式予以重点支持；三是增资扩产，按实际投入不超过5%比例进行奖励，单个项目累计最高奖励金额不超过1000万元；四是总部经济，推动设立综合型总部企业、销售中心职能总部、运营中心职能总部、研发中心职能总部等，单个企业最高不超过2000万元。</w:t>
      </w:r>
    </w:p>
    <w:p w14:paraId="7C4B1D0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jc w:val="left"/>
      </w:pPr>
      <w:r>
        <w:rPr>
          <w:bdr w:val="none" w:color="auto" w:sz="0" w:space="0"/>
        </w:rPr>
        <w:t>      （二）推动企业做大做强</w:t>
      </w:r>
    </w:p>
    <w:p w14:paraId="1B9ED3E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jc w:val="left"/>
      </w:pPr>
      <w:r>
        <w:rPr>
          <w:bdr w:val="none" w:color="auto" w:sz="0" w:space="0"/>
        </w:rPr>
        <w:t>      提出4条措施。一是“专精特新”企业，对认定为国家专精特新“小巨人”的工业母机企业，一次性给予50万元奖励；二是“单项冠军”企业，一次性给予最高300万元的奖励；三是上市融资，按其首发募集资金总额给予每家企业最高700万元奖励；四是降低税负，对研发费用、增值税予以加计抵减。</w:t>
      </w:r>
    </w:p>
    <w:p w14:paraId="37CFE22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jc w:val="left"/>
      </w:pPr>
      <w:r>
        <w:rPr>
          <w:bdr w:val="none" w:color="auto" w:sz="0" w:space="0"/>
        </w:rPr>
        <w:t>      （三）提升数字化制造水平</w:t>
      </w:r>
    </w:p>
    <w:p w14:paraId="55168E2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jc w:val="left"/>
      </w:pPr>
      <w:r>
        <w:rPr>
          <w:bdr w:val="none" w:color="auto" w:sz="0" w:space="0"/>
        </w:rPr>
        <w:t>       提出3条措施。一是智能工厂/车间，每个项目给予一次性最高不超过1000万元资助；二是智能制造试点示范，入选工信部智能制造示范工厂的，每家企业给予一次性最高不超过100万元资助，优秀场景的，每个优秀场景给予一次性最高不超过20万元资助；三是工业互联网平台，推动工业母机产业大脑建设。</w:t>
      </w:r>
    </w:p>
    <w:p w14:paraId="1DD60E7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jc w:val="left"/>
      </w:pPr>
      <w:r>
        <w:rPr>
          <w:bdr w:val="none" w:color="auto" w:sz="0" w:space="0"/>
        </w:rPr>
        <w:t>      （四）推动技术创新突破</w:t>
      </w:r>
    </w:p>
    <w:p w14:paraId="72F539F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jc w:val="left"/>
      </w:pPr>
      <w:r>
        <w:rPr>
          <w:bdr w:val="none" w:color="auto" w:sz="0" w:space="0"/>
        </w:rPr>
        <w:t>       提出5条措施。一是核心技术攻关，根据相关项目标准给予资助；二是高精密加工工艺开发，加工精度首次达到IT5、IT4、IT3及以上等级，分别给予一次性补贴100万元、200万元、300万元。三是首台（套）产品，按不超过年度销售额的10%给予推广奖励，单个企业年度最高资助金额不超过500万元；四是制造业创新中心，对国家和省级制造业创新中心承接上级资金项目给予配套支持；五是产品质量标准，主导制定国际标准、国家标准的，每项分别给予不超过100万元、30万元资助，每个“东莞优品”给予10万元资助，每个“中国精品”给予30万元资助。</w:t>
      </w:r>
    </w:p>
    <w:p w14:paraId="3475B96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jc w:val="left"/>
      </w:pPr>
      <w:r>
        <w:rPr>
          <w:bdr w:val="none" w:color="auto" w:sz="0" w:space="0"/>
        </w:rPr>
        <w:t>      （五）促进产业合作对接</w:t>
      </w:r>
    </w:p>
    <w:p w14:paraId="35AD70B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jc w:val="left"/>
      </w:pPr>
      <w:r>
        <w:rPr>
          <w:bdr w:val="none" w:color="auto" w:sz="0" w:space="0"/>
        </w:rPr>
        <w:t>       提出2条措施。一是进军一流供应链，被世界500强企业评为卓越（金牌、优秀）供应商的，给予200万元的一次性奖励；评为合格供应商的，给予100万元的一次性奖励。二是开拓境内外市场，对参加境内外线下专业展会的工业母机企业予以参展费用资助，单个项目最高支持不超过5万元。</w:t>
      </w:r>
    </w:p>
    <w:p w14:paraId="2989938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jc w:val="left"/>
      </w:pPr>
      <w:r>
        <w:rPr>
          <w:bdr w:val="none" w:color="auto" w:sz="0" w:space="0"/>
        </w:rPr>
        <w:t>      （六）引进培育产业人才</w:t>
      </w:r>
    </w:p>
    <w:p w14:paraId="1ED6B0A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jc w:val="left"/>
      </w:pPr>
      <w:r>
        <w:rPr>
          <w:bdr w:val="none" w:color="auto" w:sz="0" w:space="0"/>
        </w:rPr>
        <w:t>       提出2条措施。一是领军人才，对重大创新团队和行业领军人才，给予最高1000万元购房补贴和35万元生活补助；二是专业人才，产业发展与科技创新人才可享受每人每年最高100万元的奖励。</w:t>
      </w:r>
    </w:p>
    <w:p w14:paraId="4E92F23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jc w:val="left"/>
      </w:pPr>
      <w:r>
        <w:rPr>
          <w:bdr w:val="none" w:color="auto" w:sz="0" w:space="0"/>
        </w:rPr>
        <w:t>       三、政策期限</w:t>
      </w:r>
    </w:p>
    <w:p w14:paraId="0B23D53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jc w:val="left"/>
      </w:pPr>
      <w:r>
        <w:rPr>
          <w:bdr w:val="none" w:color="auto" w:sz="0" w:space="0"/>
        </w:rPr>
        <w:t>       本措施由市工业和信息化局负责解释，自印发之日起实施，有效期至2026年12月31日。</w:t>
      </w:r>
    </w:p>
    <w:p w14:paraId="1B04228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pPr>
    </w:p>
    <w:p w14:paraId="38CE3DB6">
      <w:bookmarkStart w:id="1" w:name="_GoBack"/>
      <w:bookmarkEnd w:id="1"/>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hlMGMwNWFmZDIwMjczMmNjMjdkZjgwNGJhYzRjY2MifQ=="/>
  </w:docVars>
  <w:rsids>
    <w:rsidRoot w:val="00000000"/>
    <w:rsid w:val="5FAB6C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Hyperlink"/>
    <w:basedOn w:val="4"/>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2024-09-14T08:05:53Z</dcterms:created>
  <dc:creator>Administrator</dc:creator>
  <cp:lastModifiedBy>polarolars</cp:lastModifiedBy>
  <dcterms:modified xsi:type="dcterms:W3CDTF">2024-09-14T08:06:07Z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3CECB97D071C4201B6AF7FA4EFD6A804_12</vt:lpwstr>
  </property>
</Properties>
</file>